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74B" w:rsidRPr="00872E56" w:rsidRDefault="0053374B" w:rsidP="0053374B">
      <w:pPr>
        <w:jc w:val="right"/>
        <w:rPr>
          <w:rFonts w:ascii="Arial" w:hAnsi="Arial" w:cs="Arial"/>
          <w:b/>
          <w:bCs/>
          <w:sz w:val="22"/>
        </w:rPr>
      </w:pPr>
    </w:p>
    <w:p w:rsidR="0053374B" w:rsidRPr="0053374B" w:rsidRDefault="0053374B" w:rsidP="0053374B">
      <w:pPr>
        <w:jc w:val="center"/>
        <w:rPr>
          <w:b/>
        </w:rPr>
      </w:pPr>
      <w:r w:rsidRPr="00D123F6">
        <w:rPr>
          <w:b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3374B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b/>
                <w:sz w:val="22"/>
              </w:rPr>
              <w:t>Nauki o bezpieczeństwie</w:t>
            </w:r>
          </w:p>
        </w:tc>
      </w:tr>
      <w:tr w:rsidR="0053374B" w:rsidRPr="00872E56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Security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Sciences</w:t>
            </w:r>
            <w:proofErr w:type="spellEnd"/>
          </w:p>
        </w:tc>
      </w:tr>
    </w:tbl>
    <w:p w:rsidR="0053374B" w:rsidRPr="00872E56" w:rsidRDefault="0053374B" w:rsidP="0053374B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3374B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53374B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</w:tr>
      <w:tr w:rsidR="0053374B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3374B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jc w:val="center"/>
        <w:rPr>
          <w:rFonts w:ascii="Arial" w:hAnsi="Arial" w:cs="Arial"/>
          <w:sz w:val="18"/>
          <w:szCs w:val="20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365"/>
        </w:trPr>
        <w:tc>
          <w:tcPr>
            <w:tcW w:w="9640" w:type="dxa"/>
          </w:tcPr>
          <w:p w:rsidR="0053374B" w:rsidRPr="00872E56" w:rsidRDefault="0053374B" w:rsidP="00B34852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 xml:space="preserve">Zapoznanie studentów z podstawowymi koncepcjami bezpieczeństwa w praktyce przednaukowej oraz z pojęciami, definicjami i koncepcjami bezpieczeństwa w naukach o bezpieczeństwie, </w:t>
            </w:r>
            <w:r w:rsidRPr="00872E56">
              <w:rPr>
                <w:sz w:val="22"/>
              </w:rPr>
              <w:br/>
              <w:t>z klasyfikacją zagrożeń oraz z metodami i technikami badawczymi zagrożeń pierwotnych, wtórnych i bezpośrednich.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374B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3374B" w:rsidRPr="00872E56" w:rsidRDefault="0053374B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53374B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374B" w:rsidRPr="00872E56" w:rsidRDefault="0053374B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Potrafi wykonywać podstawowe pomiary i obliczenia.</w:t>
            </w:r>
          </w:p>
        </w:tc>
      </w:tr>
      <w:tr w:rsidR="0053374B" w:rsidRPr="00872E56" w:rsidTr="00B34852"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3374B" w:rsidRPr="00872E56" w:rsidRDefault="00336720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</w:t>
            </w:r>
          </w:p>
        </w:tc>
      </w:tr>
    </w:tbl>
    <w:p w:rsidR="0053374B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5007"/>
        <w:gridCol w:w="2261"/>
      </w:tblGrid>
      <w:tr w:rsidR="0053374B" w:rsidRPr="00872E56" w:rsidTr="00B3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3374B" w:rsidRPr="00872E56" w:rsidTr="00B34852">
        <w:trPr>
          <w:cantSplit/>
          <w:trHeight w:val="1555"/>
        </w:trPr>
        <w:tc>
          <w:tcPr>
            <w:tcW w:w="1979" w:type="dxa"/>
            <w:vMerge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 xml:space="preserve">W01 ma pogłębioną i uporządkowaną wiedzę </w:t>
            </w:r>
            <w:r w:rsidRPr="00872E56">
              <w:rPr>
                <w:color w:val="000000"/>
                <w:sz w:val="22"/>
              </w:rPr>
              <w:br/>
              <w:t>z zakresu nauk o bezpieczeństwie</w:t>
            </w:r>
          </w:p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53374B" w:rsidRPr="00872E56" w:rsidRDefault="0053374B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W02 zna strukturę zagrożeń, metody pomiaru </w:t>
            </w:r>
            <w:r w:rsidRPr="00872E56">
              <w:rPr>
                <w:color w:val="000000"/>
                <w:sz w:val="22"/>
              </w:rPr>
              <w:br/>
              <w:t>oraz prognozowania zagrożeń</w:t>
            </w:r>
          </w:p>
        </w:tc>
        <w:tc>
          <w:tcPr>
            <w:tcW w:w="2365" w:type="dxa"/>
          </w:tcPr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3374B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3374B" w:rsidRPr="00872E56" w:rsidTr="00B34852">
        <w:trPr>
          <w:cantSplit/>
          <w:trHeight w:val="1787"/>
        </w:trPr>
        <w:tc>
          <w:tcPr>
            <w:tcW w:w="1985" w:type="dxa"/>
            <w:vMerge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U01 </w:t>
            </w:r>
            <w:r w:rsidRPr="00872E56">
              <w:rPr>
                <w:color w:val="000000"/>
                <w:sz w:val="22"/>
              </w:rPr>
              <w:t xml:space="preserve">potrafi określić, dokonać pomiaru </w:t>
            </w:r>
            <w:r w:rsidRPr="00872E56">
              <w:rPr>
                <w:color w:val="000000"/>
                <w:sz w:val="22"/>
              </w:rPr>
              <w:br/>
              <w:t xml:space="preserve">i scharakteryzować zagrożenia pierwotne, wtórne i bezpośrednie </w:t>
            </w:r>
          </w:p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53374B" w:rsidRPr="00872E56" w:rsidRDefault="0053374B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U02 potrafi dokonać oszacowania skutków </w:t>
            </w:r>
            <w:r w:rsidRPr="00872E56">
              <w:rPr>
                <w:color w:val="000000"/>
                <w:sz w:val="22"/>
              </w:rPr>
              <w:br/>
              <w:t>i prawdopodobieństwa wystąpienia szkody.</w:t>
            </w:r>
          </w:p>
        </w:tc>
        <w:tc>
          <w:tcPr>
            <w:tcW w:w="2410" w:type="dxa"/>
          </w:tcPr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</w:t>
            </w: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>K_U03, K_U04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4938"/>
        <w:gridCol w:w="2291"/>
      </w:tblGrid>
      <w:tr w:rsidR="0053374B" w:rsidRPr="00872E56" w:rsidTr="00B348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3374B" w:rsidRPr="00872E56" w:rsidTr="00B34852">
        <w:trPr>
          <w:cantSplit/>
          <w:trHeight w:val="1789"/>
        </w:trPr>
        <w:tc>
          <w:tcPr>
            <w:tcW w:w="1985" w:type="dxa"/>
            <w:vMerge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K01 </w:t>
            </w:r>
            <w:r w:rsidRPr="00872E56"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53374B" w:rsidRPr="00872E56" w:rsidRDefault="0053374B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K02 ma świadomość skutków społecznych </w:t>
            </w:r>
            <w:r w:rsidRPr="00872E56"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410" w:type="dxa"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>K_K01, K_K02, K_K05</w:t>
            </w: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>K_K01, K_K02, K_K05</w:t>
            </w:r>
          </w:p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3374B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53374B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53374B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3374B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3374B" w:rsidRPr="00872E56" w:rsidRDefault="002047FE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2047FE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53374B" w:rsidRPr="00872E56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A5E8E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</w:t>
            </w:r>
            <w:bookmarkStart w:id="0" w:name="_GoBack"/>
            <w:bookmarkEnd w:id="0"/>
          </w:p>
        </w:tc>
      </w:tr>
      <w:tr w:rsidR="0053374B" w:rsidRPr="00872E56" w:rsidTr="00B34852">
        <w:trPr>
          <w:trHeight w:val="462"/>
        </w:trPr>
        <w:tc>
          <w:tcPr>
            <w:tcW w:w="1611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pStyle w:val="Nagwek8"/>
      </w:pPr>
      <w:r w:rsidRPr="00872E56"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217"/>
        </w:trPr>
        <w:tc>
          <w:tcPr>
            <w:tcW w:w="9622" w:type="dxa"/>
          </w:tcPr>
          <w:p w:rsidR="0053374B" w:rsidRPr="00872E56" w:rsidRDefault="0053374B" w:rsidP="00B348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72E56">
              <w:rPr>
                <w:rFonts w:ascii="Times New Roman" w:hAnsi="Times New Roman" w:cs="Times New Roman"/>
                <w:color w:val="auto"/>
                <w:sz w:val="22"/>
              </w:rPr>
              <w:t>Wykłady z wykorzystaniem prezentacji multimedialnej, z odniesieniem do literatury obowiązkowej i uzupełniającej.</w:t>
            </w:r>
          </w:p>
          <w:p w:rsidR="0053374B" w:rsidRPr="00872E56" w:rsidRDefault="0053374B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Ćwiczenia w formie przygotowania referatu, prezentacji i dyskusji. </w:t>
            </w:r>
            <w:r w:rsidRPr="00872E56">
              <w:rPr>
                <w:sz w:val="22"/>
              </w:rPr>
              <w:br/>
              <w:t>Praca własna z literaturą przedmiotu.</w:t>
            </w:r>
          </w:p>
        </w:tc>
      </w:tr>
    </w:tbl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53374B" w:rsidRPr="00872E56" w:rsidTr="00B348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53374B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</w:tbl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374B" w:rsidRPr="00872E56" w:rsidTr="00B34852"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3374B" w:rsidRPr="00872E56" w:rsidRDefault="0053374B" w:rsidP="00B34852">
            <w:pPr>
              <w:pStyle w:val="Zawartotabeli"/>
              <w:spacing w:before="57" w:after="57"/>
              <w:rPr>
                <w:sz w:val="22"/>
              </w:rPr>
            </w:pPr>
            <w:r w:rsidRPr="00872E56">
              <w:rPr>
                <w:b/>
                <w:sz w:val="22"/>
              </w:rPr>
              <w:t>Egzamin</w:t>
            </w:r>
            <w:r w:rsidRPr="00872E56">
              <w:rPr>
                <w:sz w:val="22"/>
              </w:rPr>
              <w:t xml:space="preserve"> ustny poprzedzony pisemnym sprawdzianem na przedostatnim wykładzie. 60% poprawnych odpowiedzi z pisemnego sprawdzianu oznacza ocenę 3.0;  80% – ocena 3,5; 100% - ocena 4,0. </w:t>
            </w:r>
            <w:r w:rsidRPr="00872E56">
              <w:rPr>
                <w:sz w:val="22"/>
              </w:rPr>
              <w:br/>
              <w:t xml:space="preserve">W czasie ustnej części egzaminu można te oceny podwyższyć. </w:t>
            </w:r>
          </w:p>
          <w:p w:rsidR="0053374B" w:rsidRPr="00872E56" w:rsidRDefault="0053374B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Zaliczenie ćwiczeń na podstawie oceny referatu, prezentacji i dyskusji.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374B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53374B" w:rsidRPr="00872E56" w:rsidRDefault="0053374B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53374B" w:rsidRPr="00872E56" w:rsidRDefault="0053374B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Default="0053374B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Pr="00872E56" w:rsidRDefault="00EA6FC3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Tekstpodstawowy"/>
      </w:pPr>
      <w:r w:rsidRPr="00872E56"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136"/>
        </w:trPr>
        <w:tc>
          <w:tcPr>
            <w:tcW w:w="9622" w:type="dxa"/>
          </w:tcPr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1. </w:t>
            </w:r>
            <w:proofErr w:type="spellStart"/>
            <w:r w:rsidRPr="00872E56">
              <w:rPr>
                <w:rFonts w:ascii="Times New Roman" w:hAnsi="Times New Roman" w:cs="Times New Roman"/>
                <w:i/>
                <w:sz w:val="22"/>
                <w:szCs w:val="24"/>
              </w:rPr>
              <w:t>Securitas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 w mitach, wierzeniach i praktyce przednaukowej</w:t>
            </w:r>
          </w:p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2. Nauka: pojęcia, definicje, metody i techniki badawcze</w:t>
            </w:r>
          </w:p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3. Ryzyko i metody zarządzania ryzykiem (przykłady)</w:t>
            </w:r>
          </w:p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4. Bezpieczeństwo podmiotowe – podmioty bezpieczeństwa</w:t>
            </w:r>
          </w:p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5. Bezpieczeństwo przedmiotowe. Zagrożenia pierwotne, wtórne i bezpośrednie</w:t>
            </w:r>
          </w:p>
          <w:p w:rsidR="0053374B" w:rsidRPr="00872E56" w:rsidRDefault="0053374B" w:rsidP="00B34852">
            <w:pPr>
              <w:rPr>
                <w:bCs/>
                <w:sz w:val="22"/>
              </w:rPr>
            </w:pPr>
            <w:r w:rsidRPr="00872E56">
              <w:rPr>
                <w:sz w:val="22"/>
              </w:rPr>
              <w:t>6. Zagrożenia ze strony przyrody nieożywionej</w:t>
            </w:r>
          </w:p>
          <w:p w:rsidR="0053374B" w:rsidRPr="00872E56" w:rsidRDefault="0053374B" w:rsidP="00B34852">
            <w:pPr>
              <w:rPr>
                <w:bCs/>
                <w:sz w:val="22"/>
              </w:rPr>
            </w:pPr>
            <w:r w:rsidRPr="00872E56">
              <w:rPr>
                <w:sz w:val="22"/>
              </w:rPr>
              <w:t>7. Zagrożenia ze strony przyrody żywej</w:t>
            </w:r>
          </w:p>
          <w:p w:rsidR="0053374B" w:rsidRPr="00872E56" w:rsidRDefault="0053374B" w:rsidP="00B34852">
            <w:pPr>
              <w:rPr>
                <w:bCs/>
                <w:sz w:val="22"/>
              </w:rPr>
            </w:pPr>
            <w:r w:rsidRPr="00872E56">
              <w:rPr>
                <w:sz w:val="22"/>
              </w:rPr>
              <w:t>8. Zagrożenia spowodowanych błędem człowieka</w:t>
            </w:r>
          </w:p>
          <w:p w:rsidR="0053374B" w:rsidRPr="00872E56" w:rsidRDefault="0053374B" w:rsidP="00B34852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9. Zagrożenia kryminalne (spowodowanych celowym działaniem człowieka)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667"/>
        </w:trPr>
        <w:tc>
          <w:tcPr>
            <w:tcW w:w="9622" w:type="dxa"/>
          </w:tcPr>
          <w:p w:rsidR="0053374B" w:rsidRPr="00872E56" w:rsidRDefault="0053374B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Korzeniowski</w:t>
            </w:r>
            <w:r w:rsidRPr="00872E56">
              <w:rPr>
                <w:sz w:val="22"/>
                <w:lang w:val="uk-UA"/>
              </w:rPr>
              <w:t xml:space="preserve"> </w:t>
            </w:r>
            <w:r w:rsidRPr="00872E56">
              <w:rPr>
                <w:sz w:val="22"/>
              </w:rPr>
              <w:t>L</w:t>
            </w:r>
            <w:r w:rsidRPr="00872E56">
              <w:rPr>
                <w:sz w:val="22"/>
                <w:lang w:val="uk-UA"/>
              </w:rPr>
              <w:t>.</w:t>
            </w:r>
            <w:r w:rsidRPr="00872E56">
              <w:rPr>
                <w:sz w:val="22"/>
              </w:rPr>
              <w:t>F</w:t>
            </w:r>
            <w:r w:rsidRPr="00872E56">
              <w:rPr>
                <w:sz w:val="22"/>
                <w:lang w:val="uk-UA"/>
              </w:rPr>
              <w:t xml:space="preserve">.: </w:t>
            </w:r>
            <w:r w:rsidRPr="00872E56">
              <w:rPr>
                <w:i/>
                <w:sz w:val="22"/>
              </w:rPr>
              <w:t>Podstawy</w:t>
            </w:r>
            <w:r w:rsidRPr="00872E56">
              <w:rPr>
                <w:i/>
                <w:sz w:val="22"/>
                <w:lang w:val="uk-UA"/>
              </w:rPr>
              <w:t xml:space="preserve"> </w:t>
            </w:r>
            <w:r w:rsidRPr="00872E56">
              <w:rPr>
                <w:i/>
                <w:sz w:val="22"/>
              </w:rPr>
              <w:t>nauk</w:t>
            </w:r>
            <w:r w:rsidRPr="00872E56">
              <w:rPr>
                <w:i/>
                <w:sz w:val="22"/>
                <w:lang w:val="uk-UA"/>
              </w:rPr>
              <w:t xml:space="preserve"> </w:t>
            </w:r>
            <w:r w:rsidRPr="00872E56">
              <w:rPr>
                <w:i/>
                <w:sz w:val="22"/>
              </w:rPr>
              <w:t>o</w:t>
            </w:r>
            <w:r w:rsidRPr="00872E56">
              <w:rPr>
                <w:i/>
                <w:sz w:val="22"/>
                <w:lang w:val="uk-UA"/>
              </w:rPr>
              <w:t xml:space="preserve"> </w:t>
            </w:r>
            <w:r w:rsidRPr="00872E56">
              <w:rPr>
                <w:i/>
                <w:sz w:val="22"/>
              </w:rPr>
              <w:t>bezpieczeństwie.</w:t>
            </w:r>
            <w:r w:rsidRPr="00872E56">
              <w:rPr>
                <w:sz w:val="22"/>
              </w:rPr>
              <w:t xml:space="preserve"> Wydanie II zmienione.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 xml:space="preserve">, 2017. 332 s. ISBN </w:t>
            </w:r>
            <w:r w:rsidRPr="00872E56">
              <w:rPr>
                <w:rFonts w:eastAsia="EuroGaramondTTEFN"/>
                <w:sz w:val="22"/>
              </w:rPr>
              <w:t>978-83-8085-172-6</w:t>
            </w:r>
            <w:r w:rsidRPr="00872E56">
              <w:rPr>
                <w:sz w:val="22"/>
              </w:rPr>
              <w:t>. (strony 7-144 oraz 265-298.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112"/>
        </w:trPr>
        <w:tc>
          <w:tcPr>
            <w:tcW w:w="9622" w:type="dxa"/>
          </w:tcPr>
          <w:p w:rsidR="0053374B" w:rsidRPr="00872E56" w:rsidRDefault="0053374B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cs="Mangal"/>
                <w:sz w:val="22"/>
                <w:lang w:bidi="ne-NP"/>
              </w:rPr>
              <w:t xml:space="preserve">Korzeniowski L.F.: </w:t>
            </w:r>
            <w:r w:rsidRPr="00872E56">
              <w:rPr>
                <w:rFonts w:cs="Mangal"/>
                <w:i/>
                <w:sz w:val="22"/>
                <w:lang w:bidi="ne-NP"/>
              </w:rPr>
              <w:t xml:space="preserve">Bezpieczeństwo jako stan obiektywny. Związki nauk o bezpieczeństwie </w:t>
            </w:r>
            <w:r w:rsidRPr="00872E56">
              <w:rPr>
                <w:rFonts w:cs="Mangal"/>
                <w:i/>
                <w:sz w:val="22"/>
                <w:lang w:bidi="ne-NP"/>
              </w:rPr>
              <w:br/>
              <w:t>w dziedzinie nauk społecznych z naukami technicznymi.</w:t>
            </w:r>
            <w:r w:rsidRPr="00872E56">
              <w:rPr>
                <w:rFonts w:cs="Mangal"/>
                <w:bCs/>
                <w:i/>
                <w:iCs/>
                <w:sz w:val="22"/>
                <w:lang w:bidi="ne-NP"/>
              </w:rPr>
              <w:t xml:space="preserve"> </w:t>
            </w:r>
            <w:r w:rsidRPr="00872E56">
              <w:rPr>
                <w:rFonts w:cs="Mangal"/>
                <w:bCs/>
                <w:iCs/>
                <w:sz w:val="22"/>
                <w:lang w:bidi="ne-NP"/>
              </w:rPr>
              <w:t xml:space="preserve">/in:/ Skibniewska Krystyna A. – Lutostański Marian: (red.) </w:t>
            </w:r>
            <w:r w:rsidRPr="00872E56">
              <w:rPr>
                <w:rFonts w:cs="Mangal"/>
                <w:bCs/>
                <w:i/>
                <w:iCs/>
                <w:sz w:val="22"/>
                <w:lang w:bidi="ne-NP"/>
              </w:rPr>
              <w:t>Postęp w inżynierii bezpieczeństwa</w:t>
            </w:r>
            <w:r w:rsidRPr="00872E56">
              <w:rPr>
                <w:rFonts w:cs="Mangal"/>
                <w:bCs/>
                <w:iCs/>
                <w:sz w:val="22"/>
                <w:lang w:bidi="ne-NP"/>
              </w:rPr>
              <w:t>. Olsztyn: Wydawnictwo Uniwersytetu Warmińsko-Mazurskiego w Olsztynie, 2015, s. 9-18. ISBN 978-83-7299-995-5</w:t>
            </w:r>
            <w:r w:rsidRPr="00872E56">
              <w:rPr>
                <w:rFonts w:cs="Mangal"/>
                <w:bCs/>
                <w:sz w:val="22"/>
                <w:lang w:bidi="ne-NP"/>
              </w:rPr>
              <w:t>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Tekstdymka1"/>
        <w:rPr>
          <w:rFonts w:ascii="Arial" w:hAnsi="Arial" w:cs="Arial"/>
          <w:sz w:val="20"/>
        </w:rPr>
      </w:pPr>
    </w:p>
    <w:p w:rsidR="0053374B" w:rsidRPr="00872E56" w:rsidRDefault="0053374B" w:rsidP="0053374B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2047FE" w:rsidRPr="00872E56" w:rsidTr="002047FE">
        <w:trPr>
          <w:cantSplit/>
          <w:trHeight w:val="334"/>
        </w:trPr>
        <w:tc>
          <w:tcPr>
            <w:tcW w:w="2624" w:type="dxa"/>
            <w:vMerge w:val="restart"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1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2047FE" w:rsidRPr="00872E56" w:rsidTr="002047FE">
        <w:trPr>
          <w:cantSplit/>
          <w:trHeight w:val="332"/>
        </w:trPr>
        <w:tc>
          <w:tcPr>
            <w:tcW w:w="2624" w:type="dxa"/>
            <w:vMerge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Pr="00872E56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2047FE" w:rsidRPr="00872E56" w:rsidTr="002047FE">
        <w:trPr>
          <w:cantSplit/>
          <w:trHeight w:val="670"/>
        </w:trPr>
        <w:tc>
          <w:tcPr>
            <w:tcW w:w="2624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bottom w:val="single" w:sz="4" w:space="0" w:color="95B3D7"/>
            </w:tcBorders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47" w:type="dxa"/>
            <w:tcBorders>
              <w:bottom w:val="single" w:sz="4" w:space="0" w:color="95B3D7"/>
            </w:tcBorders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2047FE" w:rsidRPr="00872E56" w:rsidTr="002047FE">
        <w:trPr>
          <w:cantSplit/>
          <w:trHeight w:val="348"/>
        </w:trPr>
        <w:tc>
          <w:tcPr>
            <w:tcW w:w="2624" w:type="dxa"/>
            <w:vMerge w:val="restart"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1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2047FE" w:rsidRPr="00872E56" w:rsidTr="002047FE">
        <w:trPr>
          <w:cantSplit/>
          <w:trHeight w:val="710"/>
        </w:trPr>
        <w:tc>
          <w:tcPr>
            <w:tcW w:w="2624" w:type="dxa"/>
            <w:vMerge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2047FE" w:rsidRPr="00872E56" w:rsidTr="002047FE">
        <w:trPr>
          <w:cantSplit/>
          <w:trHeight w:val="731"/>
        </w:trPr>
        <w:tc>
          <w:tcPr>
            <w:tcW w:w="2624" w:type="dxa"/>
            <w:vMerge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2047FE" w:rsidRPr="00872E56" w:rsidTr="002047FE">
        <w:trPr>
          <w:cantSplit/>
          <w:trHeight w:val="365"/>
        </w:trPr>
        <w:tc>
          <w:tcPr>
            <w:tcW w:w="2624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bottom w:val="single" w:sz="4" w:space="0" w:color="95B3D7"/>
            </w:tcBorders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47" w:type="dxa"/>
            <w:tcBorders>
              <w:bottom w:val="single" w:sz="4" w:space="0" w:color="95B3D7"/>
            </w:tcBorders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2047FE" w:rsidRPr="00872E56" w:rsidTr="002047FE">
        <w:trPr>
          <w:trHeight w:val="365"/>
        </w:trPr>
        <w:tc>
          <w:tcPr>
            <w:tcW w:w="8015" w:type="dxa"/>
            <w:gridSpan w:val="2"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105</w:t>
            </w:r>
          </w:p>
        </w:tc>
      </w:tr>
      <w:tr w:rsidR="002047FE" w:rsidRPr="00872E56" w:rsidTr="002047FE">
        <w:trPr>
          <w:trHeight w:val="392"/>
        </w:trPr>
        <w:tc>
          <w:tcPr>
            <w:tcW w:w="8015" w:type="dxa"/>
            <w:gridSpan w:val="2"/>
            <w:shd w:val="clear" w:color="auto" w:fill="DBE5F1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47" w:type="dxa"/>
            <w:vAlign w:val="center"/>
          </w:tcPr>
          <w:p w:rsidR="002047FE" w:rsidRPr="00872E56" w:rsidRDefault="002047FE" w:rsidP="002047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53374B" w:rsidRPr="00872E56" w:rsidRDefault="0053374B" w:rsidP="0053374B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53374B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F4C" w:rsidRDefault="00557F4C" w:rsidP="0053374B">
      <w:pPr>
        <w:spacing w:after="0" w:line="240" w:lineRule="auto"/>
      </w:pPr>
      <w:r>
        <w:separator/>
      </w:r>
    </w:p>
  </w:endnote>
  <w:endnote w:type="continuationSeparator" w:id="0">
    <w:p w:rsidR="00557F4C" w:rsidRDefault="00557F4C" w:rsidP="0053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50542"/>
      <w:docPartObj>
        <w:docPartGallery w:val="Page Numbers (Bottom of Page)"/>
        <w:docPartUnique/>
      </w:docPartObj>
    </w:sdtPr>
    <w:sdtEndPr/>
    <w:sdtContent>
      <w:p w:rsidR="0053374B" w:rsidRDefault="005337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E8E">
          <w:rPr>
            <w:noProof/>
          </w:rPr>
          <w:t>4</w:t>
        </w:r>
        <w:r>
          <w:fldChar w:fldCharType="end"/>
        </w:r>
      </w:p>
    </w:sdtContent>
  </w:sdt>
  <w:p w:rsidR="0053374B" w:rsidRDefault="00533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74B" w:rsidRDefault="0053374B">
    <w:pPr>
      <w:pStyle w:val="Stopka"/>
      <w:jc w:val="right"/>
    </w:pPr>
  </w:p>
  <w:p w:rsidR="0053374B" w:rsidRDefault="00533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F4C" w:rsidRDefault="00557F4C" w:rsidP="0053374B">
      <w:pPr>
        <w:spacing w:after="0" w:line="240" w:lineRule="auto"/>
      </w:pPr>
      <w:r>
        <w:separator/>
      </w:r>
    </w:p>
  </w:footnote>
  <w:footnote w:type="continuationSeparator" w:id="0">
    <w:p w:rsidR="00557F4C" w:rsidRDefault="00557F4C" w:rsidP="0053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74B" w:rsidRPr="0053374B" w:rsidRDefault="0053374B" w:rsidP="0053374B">
    <w:pPr>
      <w:pStyle w:val="Nagwek"/>
      <w:jc w:val="right"/>
      <w:rPr>
        <w:sz w:val="20"/>
        <w:szCs w:val="20"/>
      </w:rPr>
    </w:pPr>
    <w:r w:rsidRPr="0053374B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74"/>
    <w:rsid w:val="00156AB0"/>
    <w:rsid w:val="002047FE"/>
    <w:rsid w:val="002B592C"/>
    <w:rsid w:val="002F1730"/>
    <w:rsid w:val="00336720"/>
    <w:rsid w:val="00464152"/>
    <w:rsid w:val="0053374B"/>
    <w:rsid w:val="00557F4C"/>
    <w:rsid w:val="005A5E8E"/>
    <w:rsid w:val="0069037D"/>
    <w:rsid w:val="00B25BB1"/>
    <w:rsid w:val="00EA6FC3"/>
    <w:rsid w:val="00F467BF"/>
    <w:rsid w:val="00F5317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E88B"/>
  <w15:chartTrackingRefBased/>
  <w15:docId w15:val="{EF8D483D-48F5-4AA2-A616-40CF6AD9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74B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337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5337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53374B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3374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337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3374B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3374B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74B"/>
  </w:style>
  <w:style w:type="paragraph" w:styleId="Stopka">
    <w:name w:val="footer"/>
    <w:basedOn w:val="Normalny"/>
    <w:link w:val="StopkaZnak"/>
    <w:uiPriority w:val="99"/>
    <w:unhideWhenUsed/>
    <w:rsid w:val="0053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2022-02-02T19:55:00Z</dcterms:created>
  <dcterms:modified xsi:type="dcterms:W3CDTF">2022-10-18T09:54:00Z</dcterms:modified>
</cp:coreProperties>
</file>